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2B23" w14:textId="77777777" w:rsidR="0027529B" w:rsidRPr="0027529B" w:rsidRDefault="0027529B" w:rsidP="0027529B">
      <w:pPr>
        <w:shd w:val="clear" w:color="auto" w:fill="FFFFFF"/>
        <w:spacing w:after="0" w:line="233" w:lineRule="atLeast"/>
        <w:rPr>
          <w:rFonts w:asciiTheme="majorHAnsi" w:eastAsia="Times New Roman" w:hAnsiTheme="majorHAnsi" w:cstheme="majorHAnsi"/>
          <w:color w:val="201F1E"/>
          <w:lang w:eastAsia="en-GB"/>
        </w:rPr>
      </w:pPr>
      <w:r w:rsidRPr="0027529B">
        <w:rPr>
          <w:rFonts w:asciiTheme="majorHAnsi" w:eastAsia="Times New Roman" w:hAnsiTheme="majorHAnsi" w:cstheme="majorHAnsi"/>
          <w:b/>
          <w:bCs/>
          <w:color w:val="000000"/>
          <w:sz w:val="24"/>
          <w:szCs w:val="24"/>
          <w:u w:val="single"/>
          <w:bdr w:val="none" w:sz="0" w:space="0" w:color="auto" w:frame="1"/>
          <w:lang w:eastAsia="en-GB"/>
        </w:rPr>
        <w:t>Your Disabled Students’ Allowance Funded Non-Medical Help (NMH) Support – What can you expect? </w:t>
      </w:r>
    </w:p>
    <w:p w14:paraId="14F3A679" w14:textId="77777777" w:rsidR="0027529B" w:rsidRPr="0027529B" w:rsidRDefault="0027529B" w:rsidP="0027529B">
      <w:pPr>
        <w:shd w:val="clear" w:color="auto" w:fill="FFFFFF"/>
        <w:spacing w:after="0" w:line="233" w:lineRule="atLeast"/>
        <w:rPr>
          <w:rFonts w:asciiTheme="majorHAnsi" w:eastAsia="Times New Roman" w:hAnsiTheme="majorHAnsi" w:cstheme="majorHAnsi"/>
          <w:color w:val="000000"/>
          <w:sz w:val="24"/>
          <w:szCs w:val="24"/>
          <w:bdr w:val="none" w:sz="0" w:space="0" w:color="auto" w:frame="1"/>
          <w:lang w:eastAsia="en-GB"/>
        </w:rPr>
      </w:pPr>
    </w:p>
    <w:p w14:paraId="624631BE" w14:textId="77777777" w:rsidR="0027529B" w:rsidRPr="0027529B" w:rsidRDefault="0027529B" w:rsidP="0027529B">
      <w:pPr>
        <w:shd w:val="clear" w:color="auto" w:fill="FFFFFF"/>
        <w:spacing w:after="0" w:line="233" w:lineRule="atLeast"/>
        <w:rPr>
          <w:rFonts w:asciiTheme="majorHAnsi" w:eastAsia="Times New Roman" w:hAnsiTheme="majorHAnsi" w:cstheme="majorHAnsi"/>
          <w:color w:val="000000"/>
          <w:sz w:val="24"/>
          <w:szCs w:val="24"/>
          <w:bdr w:val="none" w:sz="0" w:space="0" w:color="auto" w:frame="1"/>
          <w:lang w:eastAsia="en-GB"/>
        </w:rPr>
      </w:pPr>
      <w:r w:rsidRPr="0027529B">
        <w:rPr>
          <w:rFonts w:asciiTheme="majorHAnsi" w:eastAsia="Times New Roman" w:hAnsiTheme="majorHAnsi" w:cstheme="majorHAnsi"/>
          <w:color w:val="000000"/>
          <w:sz w:val="24"/>
          <w:szCs w:val="24"/>
          <w:bdr w:val="none" w:sz="0" w:space="0" w:color="auto" w:frame="1"/>
          <w:lang w:eastAsia="en-GB"/>
        </w:rPr>
        <w:t>Your NMH Support Provider is the provider of your specialist</w:t>
      </w:r>
      <w:r w:rsidRPr="0027529B">
        <w:rPr>
          <w:rFonts w:asciiTheme="majorHAnsi" w:eastAsia="Times New Roman" w:hAnsiTheme="majorHAnsi" w:cstheme="majorHAnsi"/>
          <w:b/>
          <w:bCs/>
          <w:color w:val="000000"/>
          <w:sz w:val="24"/>
          <w:szCs w:val="24"/>
          <w:bdr w:val="none" w:sz="0" w:space="0" w:color="auto" w:frame="1"/>
          <w:lang w:eastAsia="en-GB"/>
        </w:rPr>
        <w:t>​ 1:1 support worker/s</w:t>
      </w:r>
      <w:r w:rsidRPr="0027529B">
        <w:rPr>
          <w:rFonts w:asciiTheme="majorHAnsi" w:eastAsia="Times New Roman" w:hAnsiTheme="majorHAnsi" w:cstheme="majorHAnsi"/>
          <w:color w:val="000000"/>
          <w:sz w:val="24"/>
          <w:szCs w:val="24"/>
          <w:bdr w:val="none" w:sz="0" w:space="0" w:color="auto" w:frame="1"/>
          <w:lang w:eastAsia="en-GB"/>
        </w:rPr>
        <w:t> funded through your Disabled Students' Allowance (DSA). </w:t>
      </w:r>
    </w:p>
    <w:p w14:paraId="39EF324C" w14:textId="77777777" w:rsidR="0027529B" w:rsidRPr="0027529B" w:rsidRDefault="0027529B" w:rsidP="0027529B">
      <w:pPr>
        <w:shd w:val="clear" w:color="auto" w:fill="FFFFFF"/>
        <w:spacing w:after="0" w:line="233" w:lineRule="atLeast"/>
        <w:rPr>
          <w:rFonts w:asciiTheme="majorHAnsi" w:eastAsia="Times New Roman" w:hAnsiTheme="majorHAnsi" w:cstheme="majorHAnsi"/>
          <w:color w:val="201F1E"/>
          <w:lang w:eastAsia="en-GB"/>
        </w:rPr>
      </w:pPr>
    </w:p>
    <w:p w14:paraId="28695325" w14:textId="77777777" w:rsidR="0027529B" w:rsidRPr="0027529B" w:rsidRDefault="0027529B" w:rsidP="0027529B">
      <w:pPr>
        <w:shd w:val="clear" w:color="auto" w:fill="FFFFFF"/>
        <w:spacing w:after="0" w:line="233" w:lineRule="atLeast"/>
        <w:rPr>
          <w:rFonts w:asciiTheme="majorHAnsi" w:eastAsia="Times New Roman" w:hAnsiTheme="majorHAnsi" w:cstheme="majorHAnsi"/>
          <w:color w:val="000000"/>
          <w:sz w:val="24"/>
          <w:szCs w:val="24"/>
          <w:bdr w:val="none" w:sz="0" w:space="0" w:color="auto" w:frame="1"/>
          <w:lang w:eastAsia="en-GB"/>
        </w:rPr>
      </w:pPr>
      <w:r w:rsidRPr="0027529B">
        <w:rPr>
          <w:rFonts w:asciiTheme="majorHAnsi" w:eastAsia="Times New Roman" w:hAnsiTheme="majorHAnsi" w:cstheme="majorHAnsi"/>
          <w:color w:val="000000"/>
          <w:sz w:val="24"/>
          <w:szCs w:val="24"/>
          <w:bdr w:val="none" w:sz="0" w:space="0" w:color="auto" w:frame="1"/>
          <w:lang w:eastAsia="en-GB"/>
        </w:rPr>
        <w:t>(When we refer to the term support worker this is inclusive of the following: Study Skills Specialist, Specialist Mentor, Assistive Technology Trainer, Specialist Note Taker, Communication Support Worker and Specialist Support Professional for Students with Sensory Impairment.) </w:t>
      </w:r>
    </w:p>
    <w:p w14:paraId="6BA77B7F" w14:textId="77777777" w:rsidR="0027529B" w:rsidRPr="0027529B" w:rsidRDefault="0027529B" w:rsidP="0027529B">
      <w:pPr>
        <w:shd w:val="clear" w:color="auto" w:fill="FFFFFF"/>
        <w:spacing w:after="0" w:line="233" w:lineRule="atLeast"/>
        <w:rPr>
          <w:rFonts w:asciiTheme="majorHAnsi" w:eastAsia="Times New Roman" w:hAnsiTheme="majorHAnsi" w:cstheme="majorHAnsi"/>
          <w:color w:val="201F1E"/>
          <w:lang w:eastAsia="en-GB"/>
        </w:rPr>
      </w:pPr>
    </w:p>
    <w:p w14:paraId="133994CD" w14:textId="77777777" w:rsidR="0027529B" w:rsidRPr="0027529B" w:rsidRDefault="0027529B" w:rsidP="0027529B">
      <w:pPr>
        <w:shd w:val="clear" w:color="auto" w:fill="FFFFFF"/>
        <w:spacing w:after="0" w:line="233" w:lineRule="atLeast"/>
        <w:rPr>
          <w:rFonts w:asciiTheme="majorHAnsi" w:eastAsia="Times New Roman" w:hAnsiTheme="majorHAnsi" w:cstheme="majorHAnsi"/>
          <w:b/>
          <w:bCs/>
          <w:color w:val="000000"/>
          <w:sz w:val="24"/>
          <w:szCs w:val="24"/>
          <w:bdr w:val="none" w:sz="0" w:space="0" w:color="auto" w:frame="1"/>
          <w:lang w:eastAsia="en-GB"/>
        </w:rPr>
      </w:pPr>
      <w:r w:rsidRPr="0027529B">
        <w:rPr>
          <w:rFonts w:asciiTheme="majorHAnsi" w:eastAsia="Times New Roman" w:hAnsiTheme="majorHAnsi" w:cstheme="majorHAnsi"/>
          <w:b/>
          <w:bCs/>
          <w:color w:val="000000"/>
          <w:sz w:val="24"/>
          <w:szCs w:val="24"/>
          <w:bdr w:val="none" w:sz="0" w:space="0" w:color="auto" w:frame="1"/>
          <w:lang w:eastAsia="en-GB"/>
        </w:rPr>
        <w:t xml:space="preserve">What you can expect from your NMH Support Provider and Support Worker. </w:t>
      </w:r>
    </w:p>
    <w:p w14:paraId="230E320C" w14:textId="77777777" w:rsidR="0027529B" w:rsidRPr="0027529B" w:rsidRDefault="0027529B" w:rsidP="0027529B">
      <w:pPr>
        <w:shd w:val="clear" w:color="auto" w:fill="FFFFFF"/>
        <w:spacing w:after="0" w:line="233" w:lineRule="atLeast"/>
        <w:rPr>
          <w:rFonts w:asciiTheme="majorHAnsi" w:eastAsia="Times New Roman" w:hAnsiTheme="majorHAnsi" w:cstheme="majorHAnsi"/>
          <w:color w:val="201F1E"/>
          <w:lang w:eastAsia="en-GB"/>
        </w:rPr>
      </w:pPr>
    </w:p>
    <w:p w14:paraId="72A2CB53" w14:textId="5BC65518" w:rsidR="0027529B" w:rsidRPr="0027529B" w:rsidRDefault="0027529B" w:rsidP="0027529B">
      <w:pPr>
        <w:pStyle w:val="ListParagraph"/>
        <w:numPr>
          <w:ilvl w:val="0"/>
          <w:numId w:val="1"/>
        </w:numPr>
        <w:shd w:val="clear" w:color="auto" w:fill="FFFFFF"/>
        <w:spacing w:after="0" w:line="240" w:lineRule="auto"/>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 xml:space="preserve">Your sessions should be focussed on developing your academic skills, building your confidence and improving your access to learning, with the aim of you achieving a more </w:t>
      </w:r>
      <w:r w:rsidRPr="0027529B">
        <w:rPr>
          <w:rFonts w:asciiTheme="majorHAnsi" w:eastAsia="Times New Roman" w:hAnsiTheme="majorHAnsi" w:cstheme="majorHAnsi"/>
          <w:color w:val="000000"/>
          <w:sz w:val="24"/>
          <w:szCs w:val="24"/>
          <w:bdr w:val="none" w:sz="0" w:space="0" w:color="auto" w:frame="1"/>
          <w:lang w:eastAsia="en-GB"/>
        </w:rPr>
        <w:t>autonomous</w:t>
      </w:r>
      <w:r w:rsidRPr="0027529B">
        <w:rPr>
          <w:rFonts w:asciiTheme="majorHAnsi" w:eastAsia="Times New Roman" w:hAnsiTheme="majorHAnsi" w:cstheme="majorHAnsi"/>
          <w:color w:val="000000"/>
          <w:sz w:val="24"/>
          <w:szCs w:val="24"/>
          <w:bdr w:val="none" w:sz="0" w:space="0" w:color="auto" w:frame="1"/>
          <w:lang w:eastAsia="en-GB"/>
        </w:rPr>
        <w:t xml:space="preserve"> way of learning. You should receive student-centred support which is sensitive to your individual study needs and academic priorities. However, you should be aware that subject specific and proof-reading support are outside of the remit of your support worker and should not be expected.</w:t>
      </w:r>
    </w:p>
    <w:p w14:paraId="6A5F2E9A"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You should be treated with equity and dignity, in a respectful fashion in relation to individual differences including: age, gender, sexuality, religion, culture and ethnicity, health and disability. </w:t>
      </w:r>
    </w:p>
    <w:p w14:paraId="608BC919"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Your support worker should be suitably experienced and/or qualified.</w:t>
      </w:r>
    </w:p>
    <w:p w14:paraId="6DAEA749" w14:textId="77777777" w:rsidR="0027529B" w:rsidRPr="0027529B" w:rsidRDefault="0027529B" w:rsidP="0027529B">
      <w:pPr>
        <w:numPr>
          <w:ilvl w:val="1"/>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 xml:space="preserve">Mandatory qualifications for SFE funded roles are set out by the </w:t>
      </w:r>
      <w:hyperlink r:id="rId7" w:history="1">
        <w:r w:rsidRPr="0027529B">
          <w:rPr>
            <w:rStyle w:val="Hyperlink"/>
            <w:rFonts w:asciiTheme="majorHAnsi" w:eastAsia="Times New Roman" w:hAnsiTheme="majorHAnsi" w:cstheme="majorHAnsi"/>
            <w:sz w:val="24"/>
            <w:szCs w:val="24"/>
            <w:bdr w:val="none" w:sz="0" w:space="0" w:color="auto" w:frame="1"/>
            <w:lang w:eastAsia="en-GB"/>
          </w:rPr>
          <w:t>Department for Education</w:t>
        </w:r>
      </w:hyperlink>
      <w:r w:rsidRPr="0027529B">
        <w:rPr>
          <w:rFonts w:asciiTheme="majorHAnsi" w:eastAsia="Times New Roman" w:hAnsiTheme="majorHAnsi" w:cstheme="majorHAnsi"/>
          <w:color w:val="000000"/>
          <w:sz w:val="24"/>
          <w:szCs w:val="24"/>
          <w:bdr w:val="none" w:sz="0" w:space="0" w:color="auto" w:frame="1"/>
          <w:lang w:eastAsia="en-GB"/>
        </w:rPr>
        <w:t>.</w:t>
      </w:r>
    </w:p>
    <w:p w14:paraId="6054883D" w14:textId="5FB2FC48" w:rsidR="0027529B" w:rsidRPr="0027529B" w:rsidRDefault="0027529B" w:rsidP="0027529B">
      <w:pPr>
        <w:numPr>
          <w:ilvl w:val="1"/>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 xml:space="preserve">Guidance on the suitability of Support Workers for SFW funded roles can be found at </w:t>
      </w:r>
      <w:hyperlink r:id="rId8" w:history="1">
        <w:r w:rsidRPr="0027529B">
          <w:rPr>
            <w:rStyle w:val="Hyperlink"/>
            <w:rFonts w:asciiTheme="majorHAnsi" w:eastAsia="Times New Roman" w:hAnsiTheme="majorHAnsi" w:cstheme="majorHAnsi"/>
            <w:sz w:val="24"/>
            <w:szCs w:val="24"/>
            <w:bdr w:val="none" w:sz="0" w:space="0" w:color="auto" w:frame="1"/>
            <w:lang w:eastAsia="en-GB"/>
          </w:rPr>
          <w:t>Annex 4 here</w:t>
        </w:r>
      </w:hyperlink>
      <w:r w:rsidRPr="0027529B">
        <w:rPr>
          <w:rFonts w:asciiTheme="majorHAnsi" w:eastAsia="Times New Roman" w:hAnsiTheme="majorHAnsi" w:cstheme="majorHAnsi"/>
          <w:color w:val="000000"/>
          <w:sz w:val="24"/>
          <w:szCs w:val="24"/>
          <w:bdr w:val="none" w:sz="0" w:space="0" w:color="auto" w:frame="1"/>
          <w:lang w:eastAsia="en-GB"/>
        </w:rPr>
        <w:t xml:space="preserve">; the DfE mandatory qualifications list referenced above can be used as a point of reference for appropriate </w:t>
      </w:r>
      <w:r w:rsidRPr="0027529B">
        <w:rPr>
          <w:rFonts w:asciiTheme="majorHAnsi" w:eastAsia="Times New Roman" w:hAnsiTheme="majorHAnsi" w:cstheme="majorHAnsi"/>
          <w:color w:val="000000"/>
          <w:sz w:val="24"/>
          <w:szCs w:val="24"/>
          <w:bdr w:val="none" w:sz="0" w:space="0" w:color="auto" w:frame="1"/>
          <w:lang w:eastAsia="en-GB"/>
        </w:rPr>
        <w:t>qualifications</w:t>
      </w:r>
      <w:r w:rsidRPr="0027529B">
        <w:rPr>
          <w:rFonts w:asciiTheme="majorHAnsi" w:eastAsia="Times New Roman" w:hAnsiTheme="majorHAnsi" w:cstheme="majorHAnsi"/>
          <w:color w:val="000000"/>
          <w:sz w:val="24"/>
          <w:szCs w:val="24"/>
          <w:bdr w:val="none" w:sz="0" w:space="0" w:color="auto" w:frame="1"/>
          <w:lang w:eastAsia="en-GB"/>
        </w:rPr>
        <w:t xml:space="preserve"> where necessary.</w:t>
      </w:r>
    </w:p>
    <w:p w14:paraId="25FB7B95"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You should expect a response to emails and ​phone messages within 2 working days (at peak periods, such as at the start of term, response times may extend to a 5 working days.)</w:t>
      </w:r>
      <w:r w:rsidRPr="0027529B">
        <w:rPr>
          <w:rFonts w:asciiTheme="majorHAnsi" w:eastAsia="Times New Roman" w:hAnsiTheme="majorHAnsi" w:cstheme="majorHAnsi"/>
          <w:b/>
          <w:bCs/>
          <w:color w:val="000000"/>
          <w:sz w:val="24"/>
          <w:szCs w:val="24"/>
          <w:bdr w:val="none" w:sz="0" w:space="0" w:color="auto" w:frame="1"/>
          <w:lang w:eastAsia="en-GB"/>
        </w:rPr>
        <w:t> </w:t>
      </w:r>
      <w:r w:rsidRPr="0027529B">
        <w:rPr>
          <w:rFonts w:asciiTheme="majorHAnsi" w:eastAsia="Times New Roman" w:hAnsiTheme="majorHAnsi" w:cstheme="majorHAnsi"/>
          <w:color w:val="000000"/>
          <w:sz w:val="24"/>
          <w:szCs w:val="24"/>
          <w:bdr w:val="none" w:sz="0" w:space="0" w:color="auto" w:frame="1"/>
          <w:lang w:eastAsia="en-GB"/>
        </w:rPr>
        <w:t> </w:t>
      </w:r>
    </w:p>
    <w:p w14:paraId="3BC0BA6D"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Your support should be delivered in a location considered appropriate by yourself and your support specialist, taking account of confidentiality, accessibility, health and safety, and lone-working requirements. Support should</w:t>
      </w:r>
      <w:r w:rsidRPr="0027529B">
        <w:rPr>
          <w:rFonts w:asciiTheme="majorHAnsi" w:eastAsia="Times New Roman" w:hAnsiTheme="majorHAnsi" w:cstheme="majorHAnsi"/>
          <w:color w:val="000000"/>
          <w:bdr w:val="none" w:sz="0" w:space="0" w:color="auto" w:frame="1"/>
          <w:lang w:eastAsia="en-GB"/>
        </w:rPr>
        <w:t> </w:t>
      </w:r>
      <w:r w:rsidRPr="0027529B">
        <w:rPr>
          <w:rFonts w:asciiTheme="majorHAnsi" w:eastAsia="Times New Roman" w:hAnsiTheme="majorHAnsi" w:cstheme="majorHAnsi"/>
          <w:color w:val="000000"/>
          <w:sz w:val="24"/>
          <w:szCs w:val="24"/>
          <w:bdr w:val="none" w:sz="0" w:space="0" w:color="auto" w:frame="1"/>
          <w:lang w:eastAsia="en-GB"/>
        </w:rPr>
        <w:t>not take place in public places such as coffee shops as these cannot offer the confidentiality required for NMH support. </w:t>
      </w:r>
    </w:p>
    <w:p w14:paraId="6BBCC362"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You should be able to access your 1:1 sessions either remotely (e.g. an online video call) or face-to-face, at your choice.</w:t>
      </w:r>
    </w:p>
    <w:p w14:paraId="43A073FF"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If you feel that additional hours of support are required, you will need to request these from the Needs Assessment Centre which carried out your original DSA Needs Assessment.  Your support worker will not be able to provide additional hours of support without funding body approval. </w:t>
      </w:r>
    </w:p>
    <w:p w14:paraId="7D8EDEF7"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Your personal information is confidential and will not be shared without your permission, except where there is reasonable belief that you might be at risk of harming yourself or others. </w:t>
      </w:r>
    </w:p>
    <w:p w14:paraId="6D0CA80F"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lastRenderedPageBreak/>
        <w:t>You should know the date, time and focus of your next session, as appropriate. However, you should not feel pressured to block book sessions if you do not feel that these are required. </w:t>
      </w:r>
      <w:r w:rsidRPr="0027529B">
        <w:rPr>
          <w:rFonts w:asciiTheme="majorHAnsi" w:eastAsia="Times New Roman" w:hAnsiTheme="majorHAnsi" w:cstheme="majorHAnsi"/>
          <w:color w:val="000000"/>
          <w:bdr w:val="none" w:sz="0" w:space="0" w:color="auto" w:frame="1"/>
          <w:lang w:eastAsia="en-GB"/>
        </w:rPr>
        <w:t> </w:t>
      </w:r>
    </w:p>
    <w:p w14:paraId="19982AE2"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You should have support sessions delivered on time, and where possible you should be given 24 hours’ notice</w:t>
      </w:r>
      <w:r w:rsidRPr="0027529B">
        <w:rPr>
          <w:rFonts w:asciiTheme="majorHAnsi" w:eastAsia="Times New Roman" w:hAnsiTheme="majorHAnsi" w:cstheme="majorHAnsi"/>
          <w:b/>
          <w:bCs/>
          <w:color w:val="000000"/>
          <w:sz w:val="24"/>
          <w:szCs w:val="24"/>
          <w:bdr w:val="none" w:sz="0" w:space="0" w:color="auto" w:frame="1"/>
          <w:lang w:eastAsia="en-GB"/>
        </w:rPr>
        <w:t> </w:t>
      </w:r>
      <w:r w:rsidRPr="0027529B">
        <w:rPr>
          <w:rFonts w:asciiTheme="majorHAnsi" w:eastAsia="Times New Roman" w:hAnsiTheme="majorHAnsi" w:cstheme="majorHAnsi"/>
          <w:color w:val="000000"/>
          <w:sz w:val="24"/>
          <w:szCs w:val="24"/>
          <w:bdr w:val="none" w:sz="0" w:space="0" w:color="auto" w:frame="1"/>
          <w:lang w:eastAsia="en-GB"/>
        </w:rPr>
        <w:t>of the need to cancel a session. If your support specialist needs to cancel your session, they should rearrange this with you. </w:t>
      </w:r>
    </w:p>
    <w:p w14:paraId="7DB1D513"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You should be able to give feedback on the support you receive, and how you do this should be explained to you. </w:t>
      </w:r>
    </w:p>
    <w:p w14:paraId="2A4823DA"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You should be able to ask your NMH Provider for a change of support worker, but first it might be worth exploring whether changing the meeting arrangements or approach works better for you. </w:t>
      </w:r>
    </w:p>
    <w:p w14:paraId="2C94360B"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You should not be put on a waiting list to access your support and can instead request to be transferred to another support provider.</w:t>
      </w:r>
    </w:p>
    <w:p w14:paraId="4CEA0149"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lang w:eastAsia="en-GB"/>
        </w:rPr>
        <w:t>You can expect your NMH Provider to have a clearly published Complaints Policy and this should be drawn to your attention.</w:t>
      </w:r>
    </w:p>
    <w:p w14:paraId="48403DB0" w14:textId="77777777" w:rsidR="0027529B" w:rsidRPr="0027529B" w:rsidRDefault="0027529B" w:rsidP="0027529B">
      <w:pPr>
        <w:numPr>
          <w:ilvl w:val="0"/>
          <w:numId w:val="1"/>
        </w:numPr>
        <w:shd w:val="clear" w:color="auto" w:fill="FFFFFF"/>
        <w:spacing w:after="0" w:line="233" w:lineRule="atLeast"/>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sz w:val="24"/>
          <w:szCs w:val="24"/>
          <w:bdr w:val="none" w:sz="0" w:space="0" w:color="auto" w:frame="1"/>
          <w:lang w:eastAsia="en-GB"/>
        </w:rPr>
        <w:t>You can expect the same standards of support whether you are accessing DSA funded support from a​</w:t>
      </w:r>
      <w:r w:rsidRPr="0027529B">
        <w:rPr>
          <w:rFonts w:asciiTheme="majorHAnsi" w:eastAsia="Times New Roman" w:hAnsiTheme="majorHAnsi" w:cstheme="majorHAnsi"/>
          <w:b/>
          <w:bCs/>
          <w:color w:val="000000"/>
          <w:sz w:val="24"/>
          <w:szCs w:val="24"/>
          <w:bdr w:val="none" w:sz="0" w:space="0" w:color="auto" w:frame="1"/>
          <w:lang w:eastAsia="en-GB"/>
        </w:rPr>
        <w:t> </w:t>
      </w:r>
      <w:r w:rsidRPr="0027529B">
        <w:rPr>
          <w:rFonts w:asciiTheme="majorHAnsi" w:eastAsia="Times New Roman" w:hAnsiTheme="majorHAnsi" w:cstheme="majorHAnsi"/>
          <w:color w:val="000000"/>
          <w:sz w:val="24"/>
          <w:szCs w:val="24"/>
          <w:bdr w:val="none" w:sz="0" w:space="0" w:color="auto" w:frame="1"/>
          <w:lang w:eastAsia="en-GB"/>
        </w:rPr>
        <w:t>private, university, or other provider.</w:t>
      </w:r>
    </w:p>
    <w:p w14:paraId="638B5F8E" w14:textId="77777777" w:rsidR="0027529B" w:rsidRPr="0027529B" w:rsidRDefault="0027529B" w:rsidP="0027529B">
      <w:pPr>
        <w:shd w:val="clear" w:color="auto" w:fill="FFFFFF"/>
        <w:spacing w:after="0" w:line="233" w:lineRule="atLeast"/>
        <w:rPr>
          <w:rFonts w:asciiTheme="majorHAnsi" w:eastAsia="Times New Roman" w:hAnsiTheme="majorHAnsi" w:cstheme="majorHAnsi"/>
          <w:color w:val="201F1E"/>
          <w:lang w:eastAsia="en-GB"/>
        </w:rPr>
      </w:pPr>
    </w:p>
    <w:p w14:paraId="74DDA386" w14:textId="77777777" w:rsidR="0027529B" w:rsidRPr="0027529B" w:rsidRDefault="0027529B" w:rsidP="0027529B">
      <w:pPr>
        <w:shd w:val="clear" w:color="auto" w:fill="FFFFFF"/>
        <w:spacing w:after="0" w:line="233" w:lineRule="atLeast"/>
        <w:rPr>
          <w:rFonts w:asciiTheme="majorHAnsi" w:eastAsia="Times New Roman" w:hAnsiTheme="majorHAnsi" w:cstheme="majorHAnsi"/>
          <w:color w:val="000000"/>
          <w:sz w:val="24"/>
          <w:szCs w:val="24"/>
          <w:bdr w:val="none" w:sz="0" w:space="0" w:color="auto" w:frame="1"/>
          <w:lang w:eastAsia="en-GB"/>
        </w:rPr>
      </w:pPr>
      <w:r w:rsidRPr="0027529B">
        <w:rPr>
          <w:rFonts w:asciiTheme="majorHAnsi" w:eastAsia="Times New Roman" w:hAnsiTheme="majorHAnsi" w:cstheme="majorHAnsi"/>
          <w:b/>
          <w:bCs/>
          <w:color w:val="000000"/>
          <w:sz w:val="24"/>
          <w:szCs w:val="24"/>
          <w:bdr w:val="none" w:sz="0" w:space="0" w:color="auto" w:frame="1"/>
          <w:lang w:eastAsia="en-GB"/>
        </w:rPr>
        <w:t>You are expected to:</w:t>
      </w:r>
      <w:r w:rsidRPr="0027529B">
        <w:rPr>
          <w:rFonts w:asciiTheme="majorHAnsi" w:eastAsia="Times New Roman" w:hAnsiTheme="majorHAnsi" w:cstheme="majorHAnsi"/>
          <w:color w:val="000000"/>
          <w:sz w:val="24"/>
          <w:szCs w:val="24"/>
          <w:bdr w:val="none" w:sz="0" w:space="0" w:color="auto" w:frame="1"/>
          <w:lang w:eastAsia="en-GB"/>
        </w:rPr>
        <w:t> </w:t>
      </w:r>
    </w:p>
    <w:p w14:paraId="75D73CD2" w14:textId="77777777" w:rsidR="0027529B" w:rsidRPr="0027529B" w:rsidRDefault="0027529B" w:rsidP="0027529B">
      <w:pPr>
        <w:shd w:val="clear" w:color="auto" w:fill="FFFFFF"/>
        <w:spacing w:after="0" w:line="233" w:lineRule="atLeast"/>
        <w:rPr>
          <w:rFonts w:asciiTheme="majorHAnsi" w:eastAsia="Times New Roman" w:hAnsiTheme="majorHAnsi" w:cstheme="majorHAnsi"/>
          <w:color w:val="201F1E"/>
          <w:lang w:eastAsia="en-GB"/>
        </w:rPr>
      </w:pPr>
    </w:p>
    <w:p w14:paraId="5D4528EB" w14:textId="77777777" w:rsidR="0027529B" w:rsidRPr="0027529B" w:rsidRDefault="0027529B" w:rsidP="0027529B">
      <w:pPr>
        <w:numPr>
          <w:ilvl w:val="0"/>
          <w:numId w:val="2"/>
        </w:numPr>
        <w:shd w:val="clear" w:color="auto" w:fill="FFFFFF"/>
        <w:spacing w:after="0" w:line="240" w:lineRule="auto"/>
        <w:rPr>
          <w:rFonts w:asciiTheme="majorHAnsi" w:eastAsia="Times New Roman" w:hAnsiTheme="majorHAnsi" w:cstheme="majorHAnsi"/>
          <w:color w:val="000000"/>
          <w:lang w:eastAsia="en-GB"/>
        </w:rPr>
      </w:pPr>
      <w:r w:rsidRPr="0027529B">
        <w:rPr>
          <w:rFonts w:asciiTheme="majorHAnsi" w:eastAsia="Times New Roman" w:hAnsiTheme="majorHAnsi" w:cstheme="majorHAnsi"/>
          <w:sz w:val="24"/>
          <w:szCs w:val="24"/>
          <w:bdr w:val="none" w:sz="0" w:space="0" w:color="auto" w:frame="1"/>
          <w:lang w:eastAsia="en-GB"/>
        </w:rPr>
        <w:t xml:space="preserve">Arrive on time for appointments and, where possible, give 24 hours’ notice of cancellation. </w:t>
      </w:r>
    </w:p>
    <w:p w14:paraId="413F971D" w14:textId="77777777" w:rsidR="0027529B" w:rsidRPr="0027529B" w:rsidRDefault="0027529B" w:rsidP="0027529B">
      <w:pPr>
        <w:numPr>
          <w:ilvl w:val="1"/>
          <w:numId w:val="2"/>
        </w:numPr>
        <w:shd w:val="clear" w:color="auto" w:fill="FFFFFF"/>
        <w:spacing w:after="0" w:line="240" w:lineRule="auto"/>
        <w:rPr>
          <w:rFonts w:asciiTheme="majorHAnsi" w:eastAsia="Times New Roman" w:hAnsiTheme="majorHAnsi" w:cstheme="majorHAnsi"/>
          <w:color w:val="000000"/>
          <w:lang w:eastAsia="en-GB"/>
        </w:rPr>
      </w:pPr>
      <w:r w:rsidRPr="0027529B">
        <w:rPr>
          <w:rFonts w:asciiTheme="majorHAnsi" w:eastAsia="Times New Roman" w:hAnsiTheme="majorHAnsi" w:cstheme="majorHAnsi"/>
          <w:sz w:val="24"/>
          <w:szCs w:val="24"/>
          <w:bdr w:val="none" w:sz="0" w:space="0" w:color="auto" w:frame="1"/>
          <w:lang w:eastAsia="en-GB"/>
        </w:rPr>
        <w:t xml:space="preserve">If your funding body is SFE, you are only funded for 2 cancellations per term, per support type. </w:t>
      </w:r>
    </w:p>
    <w:p w14:paraId="3F9501E9" w14:textId="77777777" w:rsidR="0027529B" w:rsidRPr="0027529B" w:rsidRDefault="0027529B" w:rsidP="0027529B">
      <w:pPr>
        <w:numPr>
          <w:ilvl w:val="1"/>
          <w:numId w:val="2"/>
        </w:numPr>
        <w:shd w:val="clear" w:color="auto" w:fill="FFFFFF"/>
        <w:spacing w:after="0" w:line="240" w:lineRule="auto"/>
        <w:rPr>
          <w:rFonts w:asciiTheme="majorHAnsi" w:eastAsia="Times New Roman" w:hAnsiTheme="majorHAnsi" w:cstheme="majorHAnsi"/>
          <w:color w:val="000000"/>
          <w:lang w:eastAsia="en-GB"/>
        </w:rPr>
      </w:pPr>
      <w:r w:rsidRPr="0027529B">
        <w:rPr>
          <w:rFonts w:asciiTheme="majorHAnsi" w:eastAsia="Times New Roman" w:hAnsiTheme="majorHAnsi" w:cstheme="majorHAnsi"/>
          <w:sz w:val="24"/>
          <w:szCs w:val="24"/>
          <w:bdr w:val="none" w:sz="0" w:space="0" w:color="auto" w:frame="1"/>
          <w:lang w:eastAsia="en-GB"/>
        </w:rPr>
        <w:t>If your funding body is SFW, you will have to provide evidence to support the need for cancellation; reasonable requests may be considered for funding and the number of cancellations paid for may be limited.</w:t>
      </w:r>
      <w:r w:rsidRPr="0027529B">
        <w:rPr>
          <w:rFonts w:asciiTheme="majorHAnsi" w:eastAsia="Times New Roman" w:hAnsiTheme="majorHAnsi" w:cstheme="majorHAnsi"/>
          <w:color w:val="000000"/>
          <w:sz w:val="24"/>
          <w:szCs w:val="24"/>
          <w:bdr w:val="none" w:sz="0" w:space="0" w:color="auto" w:frame="1"/>
          <w:lang w:eastAsia="en-GB"/>
        </w:rPr>
        <w:t> </w:t>
      </w:r>
      <w:r w:rsidRPr="0027529B">
        <w:rPr>
          <w:rFonts w:asciiTheme="majorHAnsi" w:eastAsia="Times New Roman" w:hAnsiTheme="majorHAnsi" w:cstheme="majorHAnsi"/>
          <w:sz w:val="24"/>
          <w:szCs w:val="24"/>
          <w:bdr w:val="none" w:sz="0" w:space="0" w:color="auto" w:frame="1"/>
          <w:lang w:eastAsia="en-GB"/>
        </w:rPr>
        <w:t> </w:t>
      </w:r>
      <w:r w:rsidRPr="0027529B">
        <w:rPr>
          <w:rFonts w:asciiTheme="majorHAnsi" w:eastAsia="Times New Roman" w:hAnsiTheme="majorHAnsi" w:cstheme="majorHAnsi"/>
          <w:color w:val="000000"/>
          <w:sz w:val="24"/>
          <w:szCs w:val="24"/>
          <w:bdr w:val="none" w:sz="0" w:space="0" w:color="auto" w:frame="1"/>
          <w:lang w:eastAsia="en-GB"/>
        </w:rPr>
        <w:t> </w:t>
      </w:r>
    </w:p>
    <w:p w14:paraId="52772155" w14:textId="77777777" w:rsidR="0027529B" w:rsidRPr="0027529B" w:rsidRDefault="0027529B" w:rsidP="0027529B">
      <w:pPr>
        <w:numPr>
          <w:ilvl w:val="0"/>
          <w:numId w:val="2"/>
        </w:numPr>
        <w:shd w:val="clear" w:color="auto" w:fill="FFFFFF"/>
        <w:spacing w:after="0" w:line="240" w:lineRule="auto"/>
        <w:rPr>
          <w:rFonts w:asciiTheme="majorHAnsi" w:eastAsia="Times New Roman" w:hAnsiTheme="majorHAnsi" w:cstheme="majorHAnsi"/>
          <w:color w:val="000000"/>
          <w:lang w:eastAsia="en-GB"/>
        </w:rPr>
      </w:pPr>
      <w:r w:rsidRPr="0027529B">
        <w:rPr>
          <w:rFonts w:asciiTheme="majorHAnsi" w:eastAsia="Times New Roman" w:hAnsiTheme="majorHAnsi" w:cstheme="majorHAnsi"/>
          <w:sz w:val="24"/>
          <w:szCs w:val="24"/>
          <w:bdr w:val="none" w:sz="0" w:space="0" w:color="auto" w:frame="1"/>
          <w:lang w:eastAsia="en-GB"/>
        </w:rPr>
        <w:t>Take an active part in your support and the planning of your support.</w:t>
      </w:r>
      <w:r w:rsidRPr="0027529B">
        <w:rPr>
          <w:rFonts w:asciiTheme="majorHAnsi" w:eastAsia="Times New Roman" w:hAnsiTheme="majorHAnsi" w:cstheme="majorHAnsi"/>
          <w:color w:val="000000"/>
          <w:sz w:val="24"/>
          <w:szCs w:val="24"/>
          <w:bdr w:val="none" w:sz="0" w:space="0" w:color="auto" w:frame="1"/>
          <w:lang w:eastAsia="en-GB"/>
        </w:rPr>
        <w:t>  </w:t>
      </w:r>
    </w:p>
    <w:p w14:paraId="3F46A3FA" w14:textId="77777777" w:rsidR="0027529B" w:rsidRPr="0027529B" w:rsidRDefault="0027529B" w:rsidP="0027529B">
      <w:pPr>
        <w:numPr>
          <w:ilvl w:val="0"/>
          <w:numId w:val="2"/>
        </w:numPr>
        <w:shd w:val="clear" w:color="auto" w:fill="FFFFFF"/>
        <w:spacing w:after="0" w:line="240" w:lineRule="auto"/>
        <w:rPr>
          <w:rFonts w:asciiTheme="majorHAnsi" w:eastAsia="Times New Roman" w:hAnsiTheme="majorHAnsi" w:cstheme="majorHAnsi"/>
          <w:color w:val="000000"/>
          <w:lang w:eastAsia="en-GB"/>
        </w:rPr>
      </w:pPr>
      <w:r w:rsidRPr="0027529B">
        <w:rPr>
          <w:rFonts w:asciiTheme="majorHAnsi" w:eastAsia="Times New Roman" w:hAnsiTheme="majorHAnsi" w:cstheme="majorHAnsi"/>
          <w:sz w:val="24"/>
          <w:szCs w:val="24"/>
          <w:bdr w:val="none" w:sz="0" w:space="0" w:color="auto" w:frame="1"/>
          <w:lang w:eastAsia="en-GB"/>
        </w:rPr>
        <w:t>Treat your support worker with dignity and respect.</w:t>
      </w:r>
      <w:r w:rsidRPr="0027529B">
        <w:rPr>
          <w:rFonts w:asciiTheme="majorHAnsi" w:eastAsia="Times New Roman" w:hAnsiTheme="majorHAnsi" w:cstheme="majorHAnsi"/>
          <w:color w:val="000000"/>
          <w:sz w:val="24"/>
          <w:szCs w:val="24"/>
          <w:bdr w:val="none" w:sz="0" w:space="0" w:color="auto" w:frame="1"/>
          <w:lang w:eastAsia="en-GB"/>
        </w:rPr>
        <w:t> </w:t>
      </w:r>
      <w:r w:rsidRPr="0027529B">
        <w:rPr>
          <w:rFonts w:asciiTheme="majorHAnsi" w:eastAsia="Times New Roman" w:hAnsiTheme="majorHAnsi" w:cstheme="majorHAnsi"/>
          <w:sz w:val="24"/>
          <w:szCs w:val="24"/>
          <w:bdr w:val="none" w:sz="0" w:space="0" w:color="auto" w:frame="1"/>
          <w:lang w:eastAsia="en-GB"/>
        </w:rPr>
        <w:t> </w:t>
      </w:r>
      <w:r w:rsidRPr="0027529B">
        <w:rPr>
          <w:rFonts w:asciiTheme="majorHAnsi" w:eastAsia="Times New Roman" w:hAnsiTheme="majorHAnsi" w:cstheme="majorHAnsi"/>
          <w:color w:val="000000"/>
          <w:sz w:val="24"/>
          <w:szCs w:val="24"/>
          <w:bdr w:val="none" w:sz="0" w:space="0" w:color="auto" w:frame="1"/>
          <w:lang w:eastAsia="en-GB"/>
        </w:rPr>
        <w:t> </w:t>
      </w:r>
    </w:p>
    <w:p w14:paraId="140D8F74" w14:textId="77777777" w:rsidR="0027529B" w:rsidRPr="0027529B" w:rsidRDefault="0027529B" w:rsidP="0027529B">
      <w:pPr>
        <w:numPr>
          <w:ilvl w:val="0"/>
          <w:numId w:val="2"/>
        </w:numPr>
        <w:shd w:val="clear" w:color="auto" w:fill="FFFFFF"/>
        <w:spacing w:after="0" w:line="240" w:lineRule="auto"/>
        <w:rPr>
          <w:rFonts w:asciiTheme="majorHAnsi" w:eastAsia="Times New Roman" w:hAnsiTheme="majorHAnsi" w:cstheme="majorHAnsi"/>
          <w:color w:val="000000"/>
          <w:lang w:eastAsia="en-GB"/>
        </w:rPr>
      </w:pPr>
      <w:r w:rsidRPr="0027529B">
        <w:rPr>
          <w:rFonts w:asciiTheme="majorHAnsi" w:eastAsia="Times New Roman" w:hAnsiTheme="majorHAnsi" w:cstheme="majorHAnsi"/>
          <w:sz w:val="24"/>
          <w:szCs w:val="24"/>
          <w:bdr w:val="none" w:sz="0" w:space="0" w:color="auto" w:frame="1"/>
          <w:lang w:eastAsia="en-GB"/>
        </w:rPr>
        <w:t>Respect the boundaries of the support worker role and not to ask for or expect your support worker to provide </w:t>
      </w:r>
      <w:r w:rsidRPr="0027529B">
        <w:rPr>
          <w:rFonts w:asciiTheme="majorHAnsi" w:eastAsia="Times New Roman" w:hAnsiTheme="majorHAnsi" w:cstheme="majorHAnsi"/>
          <w:color w:val="000000"/>
          <w:sz w:val="24"/>
          <w:szCs w:val="24"/>
          <w:bdr w:val="none" w:sz="0" w:space="0" w:color="auto" w:frame="1"/>
          <w:lang w:eastAsia="en-GB"/>
        </w:rPr>
        <w:t>any additional support that is outside the remit of their role</w:t>
      </w:r>
      <w:r w:rsidRPr="0027529B">
        <w:rPr>
          <w:rFonts w:asciiTheme="majorHAnsi" w:eastAsia="Times New Roman" w:hAnsiTheme="majorHAnsi" w:cstheme="majorHAnsi"/>
          <w:sz w:val="24"/>
          <w:szCs w:val="24"/>
          <w:bdr w:val="none" w:sz="0" w:space="0" w:color="auto" w:frame="1"/>
          <w:lang w:eastAsia="en-GB"/>
        </w:rPr>
        <w:t>.</w:t>
      </w:r>
    </w:p>
    <w:p w14:paraId="6745229D" w14:textId="77777777" w:rsidR="0027529B" w:rsidRPr="0027529B" w:rsidRDefault="0027529B" w:rsidP="0027529B">
      <w:pPr>
        <w:numPr>
          <w:ilvl w:val="0"/>
          <w:numId w:val="2"/>
        </w:numPr>
        <w:shd w:val="clear" w:color="auto" w:fill="FFFFFF"/>
        <w:spacing w:after="0" w:line="240" w:lineRule="auto"/>
        <w:rPr>
          <w:rFonts w:asciiTheme="majorHAnsi" w:eastAsia="Times New Roman" w:hAnsiTheme="majorHAnsi" w:cstheme="majorHAnsi"/>
          <w:color w:val="000000"/>
          <w:lang w:eastAsia="en-GB"/>
        </w:rPr>
      </w:pPr>
      <w:r w:rsidRPr="0027529B">
        <w:rPr>
          <w:rFonts w:asciiTheme="majorHAnsi" w:eastAsia="Times New Roman" w:hAnsiTheme="majorHAnsi" w:cstheme="majorHAnsi"/>
          <w:sz w:val="24"/>
          <w:szCs w:val="24"/>
          <w:bdr w:val="none" w:sz="0" w:space="0" w:color="auto" w:frame="1"/>
          <w:lang w:eastAsia="en-GB"/>
        </w:rPr>
        <w:t>Check and sign your session time-sheets promptly.</w:t>
      </w:r>
      <w:r w:rsidRPr="0027529B">
        <w:rPr>
          <w:rFonts w:asciiTheme="majorHAnsi" w:eastAsia="Times New Roman" w:hAnsiTheme="majorHAnsi" w:cstheme="majorHAnsi"/>
          <w:color w:val="000000"/>
          <w:sz w:val="24"/>
          <w:szCs w:val="24"/>
          <w:bdr w:val="none" w:sz="0" w:space="0" w:color="auto" w:frame="1"/>
          <w:lang w:eastAsia="en-GB"/>
        </w:rPr>
        <w:t> You should not be expected to sign in advance for future sessions.</w:t>
      </w:r>
      <w:r w:rsidRPr="0027529B">
        <w:rPr>
          <w:rFonts w:asciiTheme="majorHAnsi" w:eastAsia="Times New Roman" w:hAnsiTheme="majorHAnsi" w:cstheme="majorHAnsi"/>
          <w:sz w:val="24"/>
          <w:szCs w:val="24"/>
          <w:bdr w:val="none" w:sz="0" w:space="0" w:color="auto" w:frame="1"/>
          <w:lang w:eastAsia="en-GB"/>
        </w:rPr>
        <w:t> </w:t>
      </w:r>
      <w:r w:rsidRPr="0027529B">
        <w:rPr>
          <w:rFonts w:asciiTheme="majorHAnsi" w:eastAsia="Times New Roman" w:hAnsiTheme="majorHAnsi" w:cstheme="majorHAnsi"/>
          <w:color w:val="000000"/>
          <w:sz w:val="24"/>
          <w:szCs w:val="24"/>
          <w:bdr w:val="none" w:sz="0" w:space="0" w:color="auto" w:frame="1"/>
          <w:lang w:eastAsia="en-GB"/>
        </w:rPr>
        <w:t> </w:t>
      </w:r>
    </w:p>
    <w:p w14:paraId="624DDA31" w14:textId="77777777" w:rsidR="0027529B" w:rsidRPr="0027529B" w:rsidRDefault="0027529B" w:rsidP="0027529B">
      <w:pPr>
        <w:shd w:val="clear" w:color="auto" w:fill="FFFFFF"/>
        <w:spacing w:after="0" w:line="240" w:lineRule="auto"/>
        <w:rPr>
          <w:rFonts w:asciiTheme="majorHAnsi" w:eastAsia="Times New Roman" w:hAnsiTheme="majorHAnsi" w:cstheme="majorHAnsi"/>
          <w:color w:val="000000"/>
          <w:lang w:eastAsia="en-GB"/>
        </w:rPr>
      </w:pPr>
    </w:p>
    <w:p w14:paraId="5FB87EFD" w14:textId="77777777" w:rsidR="0027529B" w:rsidRPr="0027529B" w:rsidRDefault="0027529B" w:rsidP="0027529B">
      <w:pPr>
        <w:shd w:val="clear" w:color="auto" w:fill="FFFFFF"/>
        <w:spacing w:after="0" w:line="240" w:lineRule="auto"/>
        <w:rPr>
          <w:rFonts w:asciiTheme="majorHAnsi" w:eastAsia="Times New Roman" w:hAnsiTheme="majorHAnsi" w:cstheme="majorHAnsi"/>
          <w:color w:val="000000"/>
          <w:lang w:eastAsia="en-GB"/>
        </w:rPr>
      </w:pPr>
      <w:r w:rsidRPr="0027529B">
        <w:rPr>
          <w:rFonts w:asciiTheme="majorHAnsi" w:eastAsia="Times New Roman" w:hAnsiTheme="majorHAnsi" w:cstheme="majorHAnsi"/>
          <w:color w:val="000000"/>
          <w:lang w:eastAsia="en-GB"/>
        </w:rPr>
        <w:t>At any time, you can contact your needs assessor to discuss the recommended NMH support being received.</w:t>
      </w:r>
    </w:p>
    <w:p w14:paraId="43EC8D0C" w14:textId="77777777" w:rsidR="0027529B" w:rsidRPr="0027529B" w:rsidRDefault="0027529B" w:rsidP="0027529B">
      <w:pPr>
        <w:shd w:val="clear" w:color="auto" w:fill="FFFFFF"/>
        <w:spacing w:after="0" w:line="240" w:lineRule="auto"/>
        <w:rPr>
          <w:rFonts w:asciiTheme="majorHAnsi" w:eastAsia="Times New Roman" w:hAnsiTheme="majorHAnsi" w:cstheme="majorHAnsi"/>
          <w:color w:val="000000"/>
          <w:lang w:eastAsia="en-GB"/>
        </w:rPr>
      </w:pPr>
    </w:p>
    <w:p w14:paraId="64EBD6BB" w14:textId="77777777" w:rsidR="0027529B" w:rsidRPr="0027529B" w:rsidRDefault="0027529B" w:rsidP="0027529B">
      <w:pPr>
        <w:pStyle w:val="NormalWeb"/>
        <w:shd w:val="clear" w:color="auto" w:fill="FFFFFF"/>
        <w:spacing w:before="0" w:beforeAutospacing="0" w:after="0" w:afterAutospacing="0"/>
        <w:rPr>
          <w:rFonts w:asciiTheme="minorHAnsi" w:hAnsiTheme="minorHAnsi" w:cstheme="minorHAnsi"/>
          <w:color w:val="201F1E"/>
        </w:rPr>
      </w:pPr>
      <w:r w:rsidRPr="0027529B">
        <w:rPr>
          <w:rFonts w:asciiTheme="minorHAnsi" w:hAnsiTheme="minorHAnsi" w:cstheme="minorHAnsi"/>
          <w:color w:val="000000"/>
          <w:bdr w:val="none" w:sz="0" w:space="0" w:color="auto" w:frame="1"/>
        </w:rPr>
        <w:t>Created by the following organisations </w:t>
      </w:r>
    </w:p>
    <w:p w14:paraId="4699A7D0" w14:textId="77777777" w:rsidR="0027529B" w:rsidRPr="0027529B" w:rsidRDefault="0027529B" w:rsidP="0027529B">
      <w:pPr>
        <w:pStyle w:val="NormalWeb"/>
        <w:spacing w:before="0" w:beforeAutospacing="0" w:after="0" w:afterAutospacing="0"/>
        <w:rPr>
          <w:rFonts w:asciiTheme="minorHAnsi" w:hAnsiTheme="minorHAnsi" w:cstheme="minorHAnsi"/>
          <w:color w:val="201F1E"/>
        </w:rPr>
      </w:pPr>
      <w:hyperlink r:id="rId9" w:history="1">
        <w:r w:rsidRPr="0027529B">
          <w:rPr>
            <w:rStyle w:val="Hyperlink"/>
            <w:rFonts w:asciiTheme="minorHAnsi" w:hAnsiTheme="minorHAnsi" w:cstheme="minorHAnsi"/>
            <w:b/>
            <w:bdr w:val="none" w:sz="0" w:space="0" w:color="auto" w:frame="1"/>
          </w:rPr>
          <w:t>ADSHE</w:t>
        </w:r>
        <w:r w:rsidRPr="0027529B">
          <w:rPr>
            <w:rStyle w:val="Hyperlink"/>
            <w:rFonts w:asciiTheme="minorHAnsi" w:hAnsiTheme="minorHAnsi" w:cstheme="minorHAnsi"/>
            <w:bdr w:val="none" w:sz="0" w:space="0" w:color="auto" w:frame="1"/>
          </w:rPr>
          <w:t xml:space="preserve"> – Association of Dyslexia Specialists in Higher Education </w:t>
        </w:r>
      </w:hyperlink>
    </w:p>
    <w:p w14:paraId="0FC7B546" w14:textId="77777777" w:rsidR="0027529B" w:rsidRPr="0027529B" w:rsidRDefault="0027529B" w:rsidP="0027529B">
      <w:pPr>
        <w:pStyle w:val="NormalWeb"/>
        <w:spacing w:before="0" w:beforeAutospacing="0" w:after="0" w:afterAutospacing="0"/>
        <w:rPr>
          <w:rFonts w:asciiTheme="minorHAnsi" w:hAnsiTheme="minorHAnsi" w:cstheme="minorHAnsi"/>
          <w:color w:val="201F1E"/>
        </w:rPr>
      </w:pPr>
      <w:hyperlink r:id="rId10" w:history="1">
        <w:r w:rsidRPr="0027529B">
          <w:rPr>
            <w:rStyle w:val="Hyperlink"/>
            <w:rFonts w:asciiTheme="minorHAnsi" w:hAnsiTheme="minorHAnsi" w:cstheme="minorHAnsi"/>
            <w:b/>
            <w:bdr w:val="none" w:sz="0" w:space="0" w:color="auto" w:frame="1"/>
          </w:rPr>
          <w:t>ANMHP</w:t>
        </w:r>
        <w:r w:rsidRPr="0027529B">
          <w:rPr>
            <w:rStyle w:val="Hyperlink"/>
            <w:rFonts w:asciiTheme="minorHAnsi" w:hAnsiTheme="minorHAnsi" w:cstheme="minorHAnsi"/>
            <w:bdr w:val="none" w:sz="0" w:space="0" w:color="auto" w:frame="1"/>
          </w:rPr>
          <w:t xml:space="preserve"> – Association of Non-Medical Help Providers </w:t>
        </w:r>
      </w:hyperlink>
    </w:p>
    <w:p w14:paraId="7B8208AE" w14:textId="77777777" w:rsidR="0027529B" w:rsidRPr="0027529B" w:rsidRDefault="0027529B" w:rsidP="0027529B">
      <w:pPr>
        <w:pStyle w:val="NormalWeb"/>
        <w:spacing w:before="0" w:beforeAutospacing="0" w:after="0" w:afterAutospacing="0"/>
        <w:rPr>
          <w:rFonts w:asciiTheme="minorHAnsi" w:hAnsiTheme="minorHAnsi" w:cstheme="minorHAnsi"/>
          <w:color w:val="000000"/>
          <w:bdr w:val="none" w:sz="0" w:space="0" w:color="auto" w:frame="1"/>
        </w:rPr>
      </w:pPr>
      <w:r w:rsidRPr="0027529B">
        <w:rPr>
          <w:rFonts w:asciiTheme="minorHAnsi" w:hAnsiTheme="minorHAnsi" w:cstheme="minorHAnsi"/>
          <w:b/>
          <w:color w:val="000000"/>
          <w:bdr w:val="none" w:sz="0" w:space="0" w:color="auto" w:frame="1"/>
        </w:rPr>
        <w:t>IAC</w:t>
      </w:r>
      <w:r w:rsidRPr="0027529B">
        <w:rPr>
          <w:rFonts w:asciiTheme="minorHAnsi" w:hAnsiTheme="minorHAnsi" w:cstheme="minorHAnsi"/>
          <w:color w:val="000000"/>
          <w:bdr w:val="none" w:sz="0" w:space="0" w:color="auto" w:frame="1"/>
        </w:rPr>
        <w:t xml:space="preserve"> – Independent Network of Assessment Centres </w:t>
      </w:r>
    </w:p>
    <w:p w14:paraId="4693FBA3" w14:textId="77777777" w:rsidR="0027529B" w:rsidRPr="0027529B" w:rsidRDefault="0027529B" w:rsidP="0027529B">
      <w:pPr>
        <w:pStyle w:val="NormalWeb"/>
        <w:spacing w:before="0" w:beforeAutospacing="0" w:after="0" w:afterAutospacing="0"/>
        <w:rPr>
          <w:rFonts w:asciiTheme="minorHAnsi" w:hAnsiTheme="minorHAnsi" w:cstheme="minorHAnsi"/>
          <w:color w:val="201F1E"/>
        </w:rPr>
      </w:pPr>
      <w:hyperlink r:id="rId11" w:history="1">
        <w:r w:rsidRPr="0027529B">
          <w:rPr>
            <w:rStyle w:val="Hyperlink"/>
            <w:rFonts w:asciiTheme="minorHAnsi" w:hAnsiTheme="minorHAnsi" w:cstheme="minorHAnsi"/>
            <w:b/>
            <w:bdr w:val="none" w:sz="0" w:space="0" w:color="auto" w:frame="1"/>
          </w:rPr>
          <w:t>NADP</w:t>
        </w:r>
        <w:r w:rsidRPr="0027529B">
          <w:rPr>
            <w:rStyle w:val="Hyperlink"/>
            <w:rFonts w:asciiTheme="minorHAnsi" w:hAnsiTheme="minorHAnsi" w:cstheme="minorHAnsi"/>
            <w:bdr w:val="none" w:sz="0" w:space="0" w:color="auto" w:frame="1"/>
          </w:rPr>
          <w:t xml:space="preserve"> – National Association of Disability Practitioners </w:t>
        </w:r>
      </w:hyperlink>
    </w:p>
    <w:p w14:paraId="362982F1" w14:textId="77777777" w:rsidR="0027529B" w:rsidRPr="0027529B" w:rsidRDefault="0027529B" w:rsidP="0027529B">
      <w:pPr>
        <w:pStyle w:val="NormalWeb"/>
        <w:spacing w:before="0" w:beforeAutospacing="0" w:after="0" w:afterAutospacing="0"/>
        <w:rPr>
          <w:rFonts w:asciiTheme="minorHAnsi" w:hAnsiTheme="minorHAnsi" w:cstheme="minorHAnsi"/>
          <w:color w:val="201F1E"/>
        </w:rPr>
      </w:pPr>
      <w:hyperlink r:id="rId12" w:history="1">
        <w:r w:rsidRPr="0027529B">
          <w:rPr>
            <w:rStyle w:val="Hyperlink"/>
            <w:rFonts w:asciiTheme="minorHAnsi" w:hAnsiTheme="minorHAnsi" w:cstheme="minorHAnsi"/>
            <w:b/>
          </w:rPr>
          <w:t>NNAC</w:t>
        </w:r>
        <w:r w:rsidRPr="0027529B">
          <w:rPr>
            <w:rStyle w:val="Hyperlink"/>
            <w:rFonts w:asciiTheme="minorHAnsi" w:hAnsiTheme="minorHAnsi" w:cstheme="minorHAnsi"/>
          </w:rPr>
          <w:t xml:space="preserve"> – National Network of Assessment Centres</w:t>
        </w:r>
      </w:hyperlink>
    </w:p>
    <w:p w14:paraId="71913283" w14:textId="77777777" w:rsidR="0027529B" w:rsidRPr="0027529B" w:rsidRDefault="0027529B" w:rsidP="0027529B">
      <w:pPr>
        <w:pStyle w:val="NormalWeb"/>
        <w:spacing w:before="0" w:beforeAutospacing="0" w:after="0" w:afterAutospacing="0"/>
        <w:rPr>
          <w:rFonts w:asciiTheme="minorHAnsi" w:hAnsiTheme="minorHAnsi" w:cstheme="minorHAnsi"/>
          <w:color w:val="201F1E"/>
        </w:rPr>
      </w:pPr>
      <w:hyperlink r:id="rId13" w:history="1">
        <w:r w:rsidRPr="0027529B">
          <w:rPr>
            <w:rStyle w:val="Hyperlink"/>
            <w:rFonts w:asciiTheme="minorHAnsi" w:hAnsiTheme="minorHAnsi" w:cstheme="minorHAnsi"/>
            <w:b/>
            <w:bdr w:val="none" w:sz="0" w:space="0" w:color="auto" w:frame="1"/>
          </w:rPr>
          <w:t>NUS</w:t>
        </w:r>
        <w:r w:rsidRPr="0027529B">
          <w:rPr>
            <w:rStyle w:val="Hyperlink"/>
            <w:rFonts w:asciiTheme="minorHAnsi" w:hAnsiTheme="minorHAnsi" w:cstheme="minorHAnsi"/>
            <w:bdr w:val="none" w:sz="0" w:space="0" w:color="auto" w:frame="1"/>
          </w:rPr>
          <w:t xml:space="preserve"> – National Union of Students </w:t>
        </w:r>
      </w:hyperlink>
    </w:p>
    <w:p w14:paraId="6A4BB90F" w14:textId="77777777" w:rsidR="0027529B" w:rsidRPr="0027529B" w:rsidRDefault="0027529B" w:rsidP="0027529B">
      <w:pPr>
        <w:pStyle w:val="NormalWeb"/>
        <w:spacing w:before="0" w:beforeAutospacing="0" w:after="0" w:afterAutospacing="0"/>
        <w:rPr>
          <w:rFonts w:asciiTheme="minorHAnsi" w:hAnsiTheme="minorHAnsi" w:cstheme="minorHAnsi"/>
          <w:color w:val="201F1E"/>
        </w:rPr>
      </w:pPr>
      <w:hyperlink r:id="rId14" w:history="1">
        <w:r w:rsidRPr="0027529B">
          <w:rPr>
            <w:rStyle w:val="Hyperlink"/>
            <w:rFonts w:asciiTheme="minorHAnsi" w:hAnsiTheme="minorHAnsi" w:cstheme="minorHAnsi"/>
            <w:b/>
            <w:bdr w:val="none" w:sz="0" w:space="0" w:color="auto" w:frame="1"/>
          </w:rPr>
          <w:t>PATOSS</w:t>
        </w:r>
        <w:r w:rsidRPr="0027529B">
          <w:rPr>
            <w:rStyle w:val="Hyperlink"/>
            <w:rFonts w:asciiTheme="minorHAnsi" w:hAnsiTheme="minorHAnsi" w:cstheme="minorHAnsi"/>
            <w:bdr w:val="none" w:sz="0" w:space="0" w:color="auto" w:frame="1"/>
          </w:rPr>
          <w:t xml:space="preserve"> - </w:t>
        </w:r>
        <w:r w:rsidRPr="0027529B">
          <w:rPr>
            <w:rStyle w:val="Hyperlink"/>
            <w:rFonts w:asciiTheme="minorHAnsi" w:hAnsiTheme="minorHAnsi" w:cstheme="minorHAnsi"/>
            <w:sz w:val="29"/>
            <w:szCs w:val="29"/>
            <w:bdr w:val="none" w:sz="0" w:space="0" w:color="auto" w:frame="1"/>
            <w:shd w:val="clear" w:color="auto" w:fill="F5F5F5"/>
          </w:rPr>
          <w:t> </w:t>
        </w:r>
        <w:r w:rsidRPr="0027529B">
          <w:rPr>
            <w:rStyle w:val="Hyperlink"/>
            <w:rFonts w:asciiTheme="minorHAnsi" w:hAnsiTheme="minorHAnsi" w:cstheme="minorHAnsi"/>
            <w:bdr w:val="none" w:sz="0" w:space="0" w:color="auto" w:frame="1"/>
            <w:shd w:val="clear" w:color="auto" w:fill="F5F5F5"/>
          </w:rPr>
          <w:t>Professional Association of Teachers of Students with Specific Learning Difficulties</w:t>
        </w:r>
        <w:r w:rsidRPr="0027529B">
          <w:rPr>
            <w:rStyle w:val="Hyperlink"/>
            <w:rFonts w:asciiTheme="minorHAnsi" w:hAnsiTheme="minorHAnsi" w:cstheme="minorHAnsi"/>
            <w:bdr w:val="none" w:sz="0" w:space="0" w:color="auto" w:frame="1"/>
          </w:rPr>
          <w:t> </w:t>
        </w:r>
      </w:hyperlink>
    </w:p>
    <w:p w14:paraId="34DFA717" w14:textId="435F5480" w:rsidR="00F11C2F" w:rsidRDefault="0027529B" w:rsidP="0027529B">
      <w:pPr>
        <w:pStyle w:val="NormalWeb"/>
        <w:shd w:val="clear" w:color="auto" w:fill="FFFFFF"/>
        <w:spacing w:before="0" w:beforeAutospacing="0" w:after="0" w:afterAutospacing="0"/>
      </w:pPr>
      <w:hyperlink r:id="rId15" w:history="1">
        <w:r w:rsidRPr="0027529B">
          <w:rPr>
            <w:rStyle w:val="Hyperlink"/>
            <w:rFonts w:asciiTheme="minorHAnsi" w:hAnsiTheme="minorHAnsi" w:cstheme="minorHAnsi"/>
            <w:b/>
            <w:bdr w:val="none" w:sz="0" w:space="0" w:color="auto" w:frame="1"/>
          </w:rPr>
          <w:t xml:space="preserve">UMHAN </w:t>
        </w:r>
        <w:r w:rsidRPr="0027529B">
          <w:rPr>
            <w:rStyle w:val="Hyperlink"/>
            <w:rFonts w:asciiTheme="minorHAnsi" w:hAnsiTheme="minorHAnsi" w:cstheme="minorHAnsi"/>
            <w:bdr w:val="none" w:sz="0" w:space="0" w:color="auto" w:frame="1"/>
          </w:rPr>
          <w:t>– University Mental Health Advisors Network</w:t>
        </w:r>
      </w:hyperlink>
    </w:p>
    <w:sectPr w:rsidR="00F11C2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A5F6" w14:textId="77777777" w:rsidR="0027529B" w:rsidRDefault="0027529B" w:rsidP="0027529B">
      <w:pPr>
        <w:spacing w:after="0" w:line="240" w:lineRule="auto"/>
      </w:pPr>
      <w:r>
        <w:separator/>
      </w:r>
    </w:p>
  </w:endnote>
  <w:endnote w:type="continuationSeparator" w:id="0">
    <w:p w14:paraId="002A8011" w14:textId="77777777" w:rsidR="0027529B" w:rsidRDefault="0027529B" w:rsidP="0027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95BD" w14:textId="77777777" w:rsidR="00C65DE0" w:rsidRDefault="0027529B">
    <w:pPr>
      <w:pStyle w:val="Footer"/>
    </w:pPr>
    <w:r>
      <w:rPr>
        <w:noProof/>
      </w:rPr>
      <mc:AlternateContent>
        <mc:Choice Requires="wps">
          <w:drawing>
            <wp:anchor distT="0" distB="0" distL="114300" distR="114300" simplePos="0" relativeHeight="251659264" behindDoc="0" locked="0" layoutInCell="0" allowOverlap="1" wp14:anchorId="1EA5B4B0" wp14:editId="56119023">
              <wp:simplePos x="0" y="0"/>
              <wp:positionH relativeFrom="page">
                <wp:posOffset>0</wp:posOffset>
              </wp:positionH>
              <wp:positionV relativeFrom="page">
                <wp:posOffset>10227945</wp:posOffset>
              </wp:positionV>
              <wp:extent cx="7560310" cy="273050"/>
              <wp:effectExtent l="0" t="0" r="0" b="12700"/>
              <wp:wrapNone/>
              <wp:docPr id="1" name="MSIPCM14dc4214a26a108c863a2167" descr="{&quot;HashCode&quot;:-12649308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EE34B2" w14:textId="257AF990" w:rsidR="00C65DE0" w:rsidRPr="00C65DE0" w:rsidRDefault="0027529B" w:rsidP="00C65DE0">
                          <w:pPr>
                            <w:spacing w:after="0"/>
                            <w:jc w:val="center"/>
                            <w:rPr>
                              <w:rFonts w:ascii="Calibri" w:hAnsi="Calibri" w:cs="Calibri"/>
                              <w:color w:val="000000"/>
                              <w:sz w:val="18"/>
                            </w:rPr>
                          </w:pPr>
                          <w:r>
                            <w:rPr>
                              <w:rFonts w:ascii="Calibri" w:hAnsi="Calibri" w:cs="Calibri"/>
                              <w:color w:val="000000"/>
                              <w:sz w:val="18"/>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A5B4B0" id="_x0000_t202" coordsize="21600,21600" o:spt="202" path="m,l,21600r21600,l21600,xe">
              <v:stroke joinstyle="miter"/>
              <v:path gradientshapeok="t" o:connecttype="rect"/>
            </v:shapetype>
            <v:shape id="MSIPCM14dc4214a26a108c863a2167" o:spid="_x0000_s1027" type="#_x0000_t202" alt="{&quot;HashCode&quot;:-12649308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0EE34B2" w14:textId="257AF990" w:rsidR="00C65DE0" w:rsidRPr="00C65DE0" w:rsidRDefault="0027529B" w:rsidP="00C65DE0">
                    <w:pPr>
                      <w:spacing w:after="0"/>
                      <w:jc w:val="center"/>
                      <w:rPr>
                        <w:rFonts w:ascii="Calibri" w:hAnsi="Calibri" w:cs="Calibri"/>
                        <w:color w:val="000000"/>
                        <w:sz w:val="18"/>
                      </w:rPr>
                    </w:pPr>
                    <w:r>
                      <w:rPr>
                        <w:rFonts w:ascii="Calibri" w:hAnsi="Calibri" w:cs="Calibri"/>
                        <w:color w:val="000000"/>
                        <w:sz w:val="1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FFE9" w14:textId="77777777" w:rsidR="0027529B" w:rsidRDefault="0027529B" w:rsidP="0027529B">
      <w:pPr>
        <w:spacing w:after="0" w:line="240" w:lineRule="auto"/>
      </w:pPr>
      <w:r>
        <w:separator/>
      </w:r>
    </w:p>
  </w:footnote>
  <w:footnote w:type="continuationSeparator" w:id="0">
    <w:p w14:paraId="662632D4" w14:textId="77777777" w:rsidR="0027529B" w:rsidRDefault="0027529B" w:rsidP="0027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6B71" w14:textId="77777777" w:rsidR="00C65DE0" w:rsidRDefault="0027529B">
    <w:pPr>
      <w:pStyle w:val="Header"/>
    </w:pPr>
    <w:r>
      <w:rPr>
        <w:noProof/>
      </w:rPr>
      <mc:AlternateContent>
        <mc:Choice Requires="wps">
          <w:drawing>
            <wp:anchor distT="0" distB="0" distL="114300" distR="114300" simplePos="0" relativeHeight="251660288" behindDoc="0" locked="0" layoutInCell="0" allowOverlap="1" wp14:anchorId="4BCC1861" wp14:editId="6FD02198">
              <wp:simplePos x="0" y="0"/>
              <wp:positionH relativeFrom="page">
                <wp:posOffset>0</wp:posOffset>
              </wp:positionH>
              <wp:positionV relativeFrom="page">
                <wp:posOffset>190500</wp:posOffset>
              </wp:positionV>
              <wp:extent cx="7560310" cy="273050"/>
              <wp:effectExtent l="0" t="0" r="0" b="12700"/>
              <wp:wrapNone/>
              <wp:docPr id="2" name="MSIPCMe46f4c93bdfd4ba91b63eb4c" descr="{&quot;HashCode&quot;:-128890135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FE5C3" w14:textId="5DD20B2F" w:rsidR="00C65DE0" w:rsidRPr="00C65DE0" w:rsidRDefault="0027529B" w:rsidP="00C65DE0">
                          <w:pPr>
                            <w:spacing w:after="0"/>
                            <w:jc w:val="center"/>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CC1861" id="_x0000_t202" coordsize="21600,21600" o:spt="202" path="m,l,21600r21600,l21600,xe">
              <v:stroke joinstyle="miter"/>
              <v:path gradientshapeok="t" o:connecttype="rect"/>
            </v:shapetype>
            <v:shape id="MSIPCMe46f4c93bdfd4ba91b63eb4c" o:spid="_x0000_s1026" type="#_x0000_t202" alt="{&quot;HashCode&quot;:-1288901358,&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2EFE5C3" w14:textId="5DD20B2F" w:rsidR="00C65DE0" w:rsidRPr="00C65DE0" w:rsidRDefault="0027529B" w:rsidP="00C65DE0">
                    <w:pPr>
                      <w:spacing w:after="0"/>
                      <w:jc w:val="center"/>
                      <w:rPr>
                        <w:rFonts w:ascii="Calibri" w:hAnsi="Calibri" w:cs="Calibri"/>
                        <w:color w:val="000000"/>
                      </w:rPr>
                    </w:pPr>
                    <w:r>
                      <w:rPr>
                        <w:rFonts w:ascii="Calibri" w:hAnsi="Calibri" w:cs="Calibri"/>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0ACD"/>
    <w:multiLevelType w:val="multilevel"/>
    <w:tmpl w:val="891C8878"/>
    <w:lvl w:ilvl="0">
      <w:start w:val="1"/>
      <w:numFmt w:val="bullet"/>
      <w:pStyle w:val="DfESOutNumbered"/>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2C08B2"/>
    <w:multiLevelType w:val="multilevel"/>
    <w:tmpl w:val="78643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9B"/>
    <w:rsid w:val="0027529B"/>
    <w:rsid w:val="00F11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0DF1"/>
  <w15:chartTrackingRefBased/>
  <w15:docId w15:val="{EA8AAC84-A443-41AD-909B-00D5865F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2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529B"/>
    <w:rPr>
      <w:color w:val="0563C1" w:themeColor="hyperlink"/>
      <w:u w:val="single"/>
    </w:rPr>
  </w:style>
  <w:style w:type="paragraph" w:customStyle="1" w:styleId="DfESOutNumbered">
    <w:name w:val="DfESOutNumbered"/>
    <w:basedOn w:val="Normal"/>
    <w:rsid w:val="0027529B"/>
    <w:pPr>
      <w:widowControl w:val="0"/>
      <w:numPr>
        <w:numId w:val="2"/>
      </w:numPr>
      <w:tabs>
        <w:tab w:val="clear" w:pos="720"/>
        <w:tab w:val="num" w:pos="360"/>
      </w:tabs>
      <w:overflowPunct w:val="0"/>
      <w:autoSpaceDE w:val="0"/>
      <w:autoSpaceDN w:val="0"/>
      <w:adjustRightInd w:val="0"/>
      <w:spacing w:after="240" w:line="240" w:lineRule="auto"/>
      <w:ind w:left="0" w:firstLine="0"/>
      <w:textAlignment w:val="baseline"/>
    </w:pPr>
    <w:rPr>
      <w:rFonts w:ascii="Arial" w:eastAsia="Times New Roman" w:hAnsi="Arial" w:cs="Arial"/>
      <w:szCs w:val="20"/>
    </w:rPr>
  </w:style>
  <w:style w:type="paragraph" w:styleId="ListParagraph">
    <w:name w:val="List Paragraph"/>
    <w:basedOn w:val="Normal"/>
    <w:uiPriority w:val="34"/>
    <w:qFormat/>
    <w:rsid w:val="0027529B"/>
    <w:pPr>
      <w:ind w:left="720"/>
      <w:contextualSpacing/>
    </w:pPr>
  </w:style>
  <w:style w:type="paragraph" w:styleId="Header">
    <w:name w:val="header"/>
    <w:basedOn w:val="Normal"/>
    <w:link w:val="HeaderChar"/>
    <w:uiPriority w:val="99"/>
    <w:unhideWhenUsed/>
    <w:rsid w:val="00275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29B"/>
  </w:style>
  <w:style w:type="paragraph" w:styleId="Footer">
    <w:name w:val="footer"/>
    <w:basedOn w:val="Normal"/>
    <w:link w:val="FooterChar"/>
    <w:uiPriority w:val="99"/>
    <w:unhideWhenUsed/>
    <w:rsid w:val="00275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financewales.co.uk/media/cnaeq1qt/sfw-2122-disabled-students-allowance-v10-final.pdf" TargetMode="External"/><Relationship Id="rId13" Type="http://schemas.openxmlformats.org/officeDocument/2006/relationships/hyperlink" Target="https://www.nus.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actitioners.slc.co.uk/exchange-blog/2020/september/10092020-guidance-for-nmh-suppliers/" TargetMode="External"/><Relationship Id="rId12" Type="http://schemas.openxmlformats.org/officeDocument/2006/relationships/hyperlink" Target="https://www.nnac.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dp-uk.org/" TargetMode="External"/><Relationship Id="rId5" Type="http://schemas.openxmlformats.org/officeDocument/2006/relationships/footnotes" Target="footnotes.xml"/><Relationship Id="rId15" Type="http://schemas.openxmlformats.org/officeDocument/2006/relationships/hyperlink" Target="https://www.umhan.com/" TargetMode="External"/><Relationship Id="rId10" Type="http://schemas.openxmlformats.org/officeDocument/2006/relationships/hyperlink" Target="https://nmhprovider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she.org.uk/" TargetMode="External"/><Relationship Id="rId14" Type="http://schemas.openxmlformats.org/officeDocument/2006/relationships/hyperlink" Target="https://www.patoss-dyslex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Hall</dc:creator>
  <cp:keywords/>
  <dc:description/>
  <cp:lastModifiedBy>Matthew Hall</cp:lastModifiedBy>
  <cp:revision>1</cp:revision>
  <dcterms:created xsi:type="dcterms:W3CDTF">2022-01-28T09:59:00Z</dcterms:created>
  <dcterms:modified xsi:type="dcterms:W3CDTF">2022-01-28T10:01:00Z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bd37d9-d9ac-4b79-83be-bb7da6ab464c_Enabled">
    <vt:lpwstr>true</vt:lpwstr>
  </property>
  <property fmtid="{D5CDD505-2E9C-101B-9397-08002B2CF9AE}" pid="3" name="MSIP_Label_7bbd37d9-d9ac-4b79-83be-bb7da6ab464c_SetDate">
    <vt:lpwstr>2022-01-28T10:01:02Z</vt:lpwstr>
  </property>
  <property fmtid="{D5CDD505-2E9C-101B-9397-08002B2CF9AE}" pid="4" name="MSIP_Label_7bbd37d9-d9ac-4b79-83be-bb7da6ab464c_Method">
    <vt:lpwstr>Privileged</vt:lpwstr>
  </property>
  <property fmtid="{D5CDD505-2E9C-101B-9397-08002B2CF9AE}" pid="5" name="MSIP_Label_7bbd37d9-d9ac-4b79-83be-bb7da6ab464c_Name">
    <vt:lpwstr>OFFICIAL</vt:lpwstr>
  </property>
  <property fmtid="{D5CDD505-2E9C-101B-9397-08002B2CF9AE}" pid="6" name="MSIP_Label_7bbd37d9-d9ac-4b79-83be-bb7da6ab464c_SiteId">
    <vt:lpwstr>4c6898a9-8fca-42f9-aa92-82cb3e252bc6</vt:lpwstr>
  </property>
  <property fmtid="{D5CDD505-2E9C-101B-9397-08002B2CF9AE}" pid="7" name="MSIP_Label_7bbd37d9-d9ac-4b79-83be-bb7da6ab464c_ActionId">
    <vt:lpwstr>1222227d-f30f-4e91-aa4d-00001701fd6b</vt:lpwstr>
  </property>
  <property fmtid="{D5CDD505-2E9C-101B-9397-08002B2CF9AE}" pid="8" name="MSIP_Label_7bbd37d9-d9ac-4b79-83be-bb7da6ab464c_ContentBits">
    <vt:lpwstr>3</vt:lpwstr>
  </property>
</Properties>
</file>